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eastAsia" w:ascii="宋体" w:hAnsi="宋体" w:eastAsia="宋体" w:cs="宋体"/>
          <w:b/>
          <w:sz w:val="36"/>
          <w:szCs w:val="36"/>
        </w:rPr>
      </w:pPr>
      <w:r>
        <w:rPr>
          <w:rFonts w:hint="eastAsia" w:ascii="宋体" w:hAnsi="宋体" w:eastAsia="宋体" w:cs="宋体"/>
          <w:b/>
          <w:sz w:val="36"/>
          <w:szCs w:val="36"/>
        </w:rPr>
        <w:t>山西兰花科技创业股份有限公司田悦化肥分公司</w:t>
      </w:r>
    </w:p>
    <w:p>
      <w:pPr>
        <w:spacing w:before="240"/>
        <w:ind w:right="958"/>
        <w:jc w:val="center"/>
        <w:rPr>
          <w:b/>
          <w:sz w:val="36"/>
        </w:rPr>
      </w:pPr>
      <w:r>
        <w:rPr>
          <w:rFonts w:hint="eastAsia" w:ascii="Times New Roman"/>
          <w:b/>
          <w:sz w:val="36"/>
          <w:lang w:val="en-US" w:eastAsia="zh-CN"/>
        </w:rPr>
        <w:t xml:space="preserve">          </w:t>
      </w:r>
      <w:r>
        <w:rPr>
          <w:rFonts w:ascii="Times New Roman" w:eastAsia="Times New Roman"/>
          <w:b/>
          <w:sz w:val="36"/>
        </w:rPr>
        <w:t xml:space="preserve">2020 </w:t>
      </w:r>
      <w:r>
        <w:rPr>
          <w:b/>
          <w:sz w:val="36"/>
        </w:rPr>
        <w:t>年土壤环境自行监测结果公示</w:t>
      </w:r>
    </w:p>
    <w:p>
      <w:pPr>
        <w:pStyle w:val="4"/>
        <w:rPr>
          <w:b/>
          <w:sz w:val="40"/>
        </w:rPr>
      </w:pPr>
    </w:p>
    <w:p>
      <w:pPr>
        <w:pStyle w:val="3"/>
        <w:keepNext w:val="0"/>
        <w:keepLines w:val="0"/>
        <w:pageBreakBefore w:val="0"/>
        <w:widowControl w:val="0"/>
        <w:kinsoku/>
        <w:wordWrap/>
        <w:overflowPunct/>
        <w:topLinePunct w:val="0"/>
        <w:autoSpaceDE w:val="0"/>
        <w:autoSpaceDN w:val="0"/>
        <w:bidi w:val="0"/>
        <w:adjustRightInd/>
        <w:snapToGrid/>
        <w:spacing w:before="281" w:line="360" w:lineRule="auto"/>
        <w:textAlignment w:val="auto"/>
      </w:pPr>
      <w:r>
        <w:t>一、项目概况</w:t>
      </w:r>
    </w:p>
    <w:p>
      <w:pPr>
        <w:pStyle w:val="4"/>
        <w:keepNext w:val="0"/>
        <w:keepLines w:val="0"/>
        <w:pageBreakBefore w:val="0"/>
        <w:widowControl w:val="0"/>
        <w:kinsoku/>
        <w:wordWrap/>
        <w:overflowPunct/>
        <w:topLinePunct w:val="0"/>
        <w:autoSpaceDE w:val="0"/>
        <w:autoSpaceDN w:val="0"/>
        <w:bidi w:val="0"/>
        <w:adjustRightInd/>
        <w:snapToGrid/>
        <w:spacing w:before="210" w:line="360" w:lineRule="auto"/>
        <w:ind w:left="120" w:right="106" w:firstLine="600"/>
        <w:textAlignment w:val="auto"/>
        <w:rPr>
          <w:sz w:val="30"/>
          <w:szCs w:val="30"/>
        </w:rPr>
      </w:pPr>
      <w:r>
        <w:rPr>
          <w:rFonts w:hint="eastAsia" w:ascii="宋体" w:hAnsi="宋体" w:eastAsia="宋体" w:cs="宋体"/>
          <w:sz w:val="30"/>
          <w:szCs w:val="30"/>
        </w:rPr>
        <w:t>山西兰花科技创业股份有限公司田悦化肥分公司厂址位于山西省阳城县北留镇李家村东北，</w:t>
      </w:r>
      <w:r>
        <w:rPr>
          <w:rFonts w:hint="eastAsia" w:ascii="宋体" w:hAnsi="宋体" w:eastAsia="宋体" w:cs="宋体"/>
          <w:sz w:val="30"/>
          <w:szCs w:val="30"/>
          <w:lang w:val="ru-RU"/>
        </w:rPr>
        <w:t>中心坐标为东经112°36'0.14"，北纬35°28'13.37"，总面积约223334.45m</w:t>
      </w:r>
      <w:r>
        <w:rPr>
          <w:rFonts w:hint="eastAsia" w:ascii="宋体" w:hAnsi="宋体" w:eastAsia="宋体" w:cs="宋体"/>
          <w:sz w:val="30"/>
          <w:szCs w:val="30"/>
          <w:vertAlign w:val="superscript"/>
          <w:lang w:val="ru-RU"/>
        </w:rPr>
        <w:t>2</w:t>
      </w:r>
      <w:r>
        <w:rPr>
          <w:spacing w:val="-12"/>
          <w:sz w:val="30"/>
          <w:szCs w:val="30"/>
          <w:vertAlign w:val="baseline"/>
        </w:rPr>
        <w:t>。</w:t>
      </w:r>
      <w:r>
        <w:rPr>
          <w:rFonts w:hint="eastAsia" w:ascii="宋体" w:hAnsi="宋体" w:eastAsia="宋体" w:cs="宋体"/>
          <w:sz w:val="30"/>
          <w:szCs w:val="30"/>
          <w:lang w:val="ru-RU"/>
        </w:rPr>
        <w:t>根据《中华人民共和国土壤污染防治法》（2019年1月1日实施）、《土壤污染防治行动计划》（国发[2016]31号）、《山西省土壤污染防治工作方案》（晋政发[2016]69号）的要求，参照《北京市重点企业土壤环境自行监测技术指南（暂行）》（2018年5月）、《在产企业土壤及地下水自行监测技术指南（征求意见稿）》及其它相关法规法律要求，本项目主要依据</w:t>
      </w:r>
      <w:r>
        <w:rPr>
          <w:rFonts w:hint="eastAsia" w:ascii="宋体" w:hAnsi="宋体" w:eastAsia="宋体" w:cs="宋体"/>
          <w:sz w:val="30"/>
          <w:szCs w:val="30"/>
        </w:rPr>
        <w:t>山西兰花科技创业股份有限公司田悦化肥分公司</w:t>
      </w:r>
      <w:r>
        <w:rPr>
          <w:rFonts w:hint="eastAsia" w:ascii="宋体" w:hAnsi="宋体" w:eastAsia="宋体" w:cs="宋体"/>
          <w:sz w:val="30"/>
          <w:szCs w:val="30"/>
          <w:lang w:val="ru-RU"/>
        </w:rPr>
        <w:t>场地使用现状及相关资料，识别企业重点区域，分析场地各厂区或工段潜在污染因子，对企业土壤开展环境监测工作</w:t>
      </w:r>
      <w:r>
        <w:rPr>
          <w:rFonts w:hint="eastAsia" w:ascii="宋体" w:hAnsi="宋体" w:eastAsia="宋体" w:cs="宋体"/>
          <w:sz w:val="30"/>
          <w:szCs w:val="30"/>
          <w:vertAlign w:val="baseline"/>
        </w:rPr>
        <w:t>。</w:t>
      </w:r>
    </w:p>
    <w:p>
      <w:pPr>
        <w:pStyle w:val="4"/>
        <w:keepNext w:val="0"/>
        <w:keepLines w:val="0"/>
        <w:pageBreakBefore w:val="0"/>
        <w:widowControl w:val="0"/>
        <w:kinsoku/>
        <w:wordWrap/>
        <w:overflowPunct/>
        <w:topLinePunct w:val="0"/>
        <w:autoSpaceDE w:val="0"/>
        <w:autoSpaceDN w:val="0"/>
        <w:bidi w:val="0"/>
        <w:adjustRightInd/>
        <w:snapToGrid/>
        <w:spacing w:before="210" w:line="360" w:lineRule="auto"/>
        <w:ind w:left="120" w:right="106" w:firstLine="600"/>
        <w:textAlignment w:val="auto"/>
      </w:pPr>
      <w:r>
        <w:rPr>
          <w:rFonts w:hint="eastAsia" w:ascii="宋体" w:hAnsi="宋体" w:eastAsia="宋体" w:cs="宋体"/>
          <w:sz w:val="30"/>
          <w:szCs w:val="30"/>
        </w:rPr>
        <w:t>本次自行监测共布设</w:t>
      </w:r>
      <w:r>
        <w:rPr>
          <w:rFonts w:hint="eastAsia" w:ascii="宋体" w:hAnsi="宋体" w:eastAsia="宋体" w:cs="宋体"/>
          <w:sz w:val="30"/>
          <w:szCs w:val="30"/>
          <w:lang w:val="en-US" w:eastAsia="zh-CN"/>
        </w:rPr>
        <w:t>14</w:t>
      </w:r>
      <w:r>
        <w:rPr>
          <w:rFonts w:hint="eastAsia" w:ascii="宋体" w:hAnsi="宋体" w:eastAsia="宋体" w:cs="宋体"/>
          <w:sz w:val="30"/>
          <w:szCs w:val="30"/>
        </w:rPr>
        <w:t>个土壤监测点（其中对照点1个，场地内</w:t>
      </w:r>
      <w:r>
        <w:rPr>
          <w:rFonts w:hint="eastAsia" w:cs="宋体"/>
          <w:sz w:val="30"/>
          <w:szCs w:val="30"/>
          <w:lang w:val="en-US" w:eastAsia="zh-CN"/>
        </w:rPr>
        <w:t>13</w:t>
      </w:r>
      <w:r>
        <w:rPr>
          <w:rFonts w:hint="eastAsia" w:ascii="宋体" w:hAnsi="宋体" w:eastAsia="宋体" w:cs="宋体"/>
          <w:sz w:val="30"/>
          <w:szCs w:val="30"/>
        </w:rPr>
        <w:t>个），</w:t>
      </w:r>
      <w:r>
        <w:rPr>
          <w:rFonts w:hint="eastAsia" w:ascii="宋体" w:hAnsi="宋体" w:eastAsia="宋体" w:cs="宋体"/>
          <w:bCs/>
          <w:sz w:val="30"/>
          <w:szCs w:val="30"/>
          <w:lang w:val="ru-RU"/>
        </w:rPr>
        <w:t>参照《土壤污染重点监管单位自行监测方案编制指南》，土壤自行监测方案检测项目应包括《土壤环境质量建设用地土壤污染风险管控标准》（GB36600-2018）中的45项必测项目、</w:t>
      </w:r>
      <w:r>
        <w:rPr>
          <w:rFonts w:hint="eastAsia" w:ascii="宋体" w:hAnsi="宋体" w:eastAsia="宋体" w:cs="宋体"/>
          <w:bCs/>
          <w:sz w:val="30"/>
          <w:szCs w:val="30"/>
        </w:rPr>
        <w:t>p</w:t>
      </w:r>
      <w:r>
        <w:rPr>
          <w:rFonts w:hint="eastAsia" w:ascii="宋体" w:hAnsi="宋体" w:eastAsia="宋体" w:cs="宋体"/>
          <w:bCs/>
          <w:sz w:val="30"/>
          <w:szCs w:val="30"/>
          <w:lang w:val="ru-RU"/>
        </w:rPr>
        <w:t>H值以及企业可造成土壤污染的特征污染物</w:t>
      </w:r>
      <w:r>
        <w:rPr>
          <w:rFonts w:hint="eastAsia" w:ascii="宋体" w:hAnsi="宋体" w:eastAsia="宋体" w:cs="宋体"/>
          <w:sz w:val="30"/>
          <w:szCs w:val="30"/>
        </w:rPr>
        <w:t>。</w:t>
      </w:r>
    </w:p>
    <w:p>
      <w:pPr>
        <w:pStyle w:val="3"/>
        <w:keepNext w:val="0"/>
        <w:keepLines w:val="0"/>
        <w:pageBreakBefore w:val="0"/>
        <w:widowControl w:val="0"/>
        <w:kinsoku/>
        <w:wordWrap/>
        <w:overflowPunct/>
        <w:topLinePunct w:val="0"/>
        <w:autoSpaceDE w:val="0"/>
        <w:autoSpaceDN w:val="0"/>
        <w:bidi w:val="0"/>
        <w:adjustRightInd/>
        <w:snapToGrid/>
        <w:spacing w:line="360" w:lineRule="auto"/>
        <w:textAlignment w:val="auto"/>
      </w:pPr>
      <w:r>
        <w:t>二、自行监测结论</w:t>
      </w:r>
    </w:p>
    <w:p>
      <w:pPr>
        <w:keepNext w:val="0"/>
        <w:keepLines w:val="0"/>
        <w:pageBreakBefore w:val="0"/>
        <w:widowControl w:val="0"/>
        <w:kinsoku/>
        <w:wordWrap/>
        <w:overflowPunct/>
        <w:topLinePunct w:val="0"/>
        <w:autoSpaceDE w:val="0"/>
        <w:autoSpaceDN w:val="0"/>
        <w:bidi w:val="0"/>
        <w:adjustRightInd/>
        <w:snapToGrid/>
        <w:spacing w:line="360" w:lineRule="auto"/>
        <w:ind w:firstLine="600" w:firstLineChars="200"/>
        <w:textAlignment w:val="auto"/>
      </w:pPr>
      <w:r>
        <w:rPr>
          <w:rFonts w:hint="eastAsia" w:ascii="宋体" w:hAnsi="宋体" w:eastAsia="宋体" w:cs="宋体"/>
          <w:sz w:val="30"/>
          <w:szCs w:val="30"/>
        </w:rPr>
        <w:t>根据检测报告，所有调查点位土壤污染物检测结果均满足《土壤环境质量建设用地土壤污染风险管控标准》（GB36600-2018）的第二类用地标准</w:t>
      </w:r>
      <w:r>
        <w:rPr>
          <w:rFonts w:hint="eastAsia" w:cs="宋体"/>
          <w:sz w:val="30"/>
          <w:szCs w:val="30"/>
          <w:lang w:eastAsia="zh-CN"/>
        </w:rPr>
        <w:t>，</w:t>
      </w:r>
      <w:r>
        <w:rPr>
          <w:rFonts w:hint="eastAsia" w:ascii="宋体" w:hAnsi="宋体" w:eastAsia="宋体" w:cs="宋体"/>
          <w:sz w:val="30"/>
          <w:szCs w:val="30"/>
        </w:rPr>
        <w:t>场地内采集的所有样品均符合相关筛选值或限制标准，环境风险可接受，但需进行长期监</w:t>
      </w:r>
      <w:r>
        <w:rPr>
          <w:rFonts w:hint="eastAsia" w:ascii="宋体" w:hAnsi="宋体" w:eastAsia="宋体" w:cs="宋体"/>
          <w:sz w:val="30"/>
          <w:szCs w:val="30"/>
          <w:lang w:eastAsia="zh-CN"/>
        </w:rPr>
        <w:t>控</w:t>
      </w:r>
      <w:r>
        <w:rPr>
          <w:rFonts w:hint="eastAsia" w:cs="宋体"/>
          <w:sz w:val="30"/>
          <w:szCs w:val="30"/>
          <w:lang w:eastAsia="zh-CN"/>
        </w:rPr>
        <w:t>，</w:t>
      </w:r>
      <w:r>
        <w:rPr>
          <w:rFonts w:hint="eastAsia" w:ascii="宋体" w:hAnsi="宋体" w:eastAsia="宋体" w:cs="宋体"/>
          <w:sz w:val="30"/>
          <w:szCs w:val="30"/>
        </w:rPr>
        <w:t>企业场界内地块无土壤污染迹象。</w:t>
      </w:r>
    </w:p>
    <w:p>
      <w:pPr>
        <w:keepNext w:val="0"/>
        <w:keepLines w:val="0"/>
        <w:pageBreakBefore w:val="0"/>
        <w:widowControl w:val="0"/>
        <w:kinsoku/>
        <w:wordWrap/>
        <w:overflowPunct/>
        <w:topLinePunct w:val="0"/>
        <w:autoSpaceDE w:val="0"/>
        <w:autoSpaceDN w:val="0"/>
        <w:bidi w:val="0"/>
        <w:adjustRightInd/>
        <w:snapToGrid/>
        <w:spacing w:after="0" w:line="360" w:lineRule="auto"/>
        <w:textAlignment w:val="auto"/>
        <w:sectPr>
          <w:pgSz w:w="11910" w:h="16840"/>
          <w:pgMar w:top="1380" w:right="1540" w:bottom="1417" w:left="1680" w:header="720" w:footer="720" w:gutter="0"/>
        </w:sectPr>
      </w:pPr>
      <w:bookmarkStart w:id="0" w:name="_GoBack"/>
      <w:bookmarkEnd w:id="0"/>
    </w:p>
    <w:p>
      <w:pPr>
        <w:pStyle w:val="4"/>
        <w:rPr>
          <w:sz w:val="20"/>
        </w:rPr>
      </w:pPr>
      <w:r>
        <w:rPr>
          <w:rFonts w:hint="eastAsia" w:ascii="Times New Roman" w:hAnsi="Times New Roman" w:eastAsia="仿宋" w:cs="Times New Roman"/>
          <w:sz w:val="24"/>
          <w:lang w:eastAsia="zh-CN"/>
        </w:rPr>
        <w:drawing>
          <wp:inline distT="0" distB="0" distL="114300" distR="114300">
            <wp:extent cx="8512810" cy="5706745"/>
            <wp:effectExtent l="0" t="0" r="2540" b="8255"/>
            <wp:docPr id="2" name="图片 2" descr="81eb07c4e6830522bd337f2d8d888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1eb07c4e6830522bd337f2d8d8886f"/>
                    <pic:cNvPicPr>
                      <a:picLocks noChangeAspect="1"/>
                    </pic:cNvPicPr>
                  </pic:nvPicPr>
                  <pic:blipFill>
                    <a:blip r:embed="rId4"/>
                    <a:stretch>
                      <a:fillRect/>
                    </a:stretch>
                  </pic:blipFill>
                  <pic:spPr>
                    <a:xfrm>
                      <a:off x="0" y="0"/>
                      <a:ext cx="8512810" cy="5706745"/>
                    </a:xfrm>
                    <a:prstGeom prst="rect">
                      <a:avLst/>
                    </a:prstGeom>
                  </pic:spPr>
                </pic:pic>
              </a:graphicData>
            </a:graphic>
          </wp:inline>
        </w:drawing>
      </w:r>
    </w:p>
    <w:p>
      <w:pPr>
        <w:pStyle w:val="4"/>
        <w:rPr>
          <w:sz w:val="20"/>
        </w:rPr>
      </w:pPr>
    </w:p>
    <w:p>
      <w:pPr>
        <w:spacing w:before="61"/>
        <w:ind w:right="4012"/>
        <w:jc w:val="center"/>
        <w:rPr>
          <w:b/>
          <w:sz w:val="28"/>
        </w:rPr>
      </w:pPr>
      <w:r>
        <w:rPr>
          <w:rFonts w:hint="eastAsia"/>
          <w:b/>
          <w:sz w:val="28"/>
          <w:lang w:val="en-US" w:eastAsia="zh-CN"/>
        </w:rPr>
        <w:t xml:space="preserve">                   </w:t>
      </w:r>
      <w:r>
        <w:rPr>
          <w:b/>
          <w:sz w:val="28"/>
        </w:rPr>
        <w:t>自行监测点位布设图（厂区内）</w:t>
      </w:r>
    </w:p>
    <w:p>
      <w:pPr>
        <w:pStyle w:val="4"/>
        <w:rPr>
          <w:b/>
          <w:sz w:val="20"/>
        </w:rPr>
      </w:pPr>
    </w:p>
    <w:p>
      <w:pPr>
        <w:pStyle w:val="4"/>
        <w:rPr>
          <w:b/>
          <w:sz w:val="20"/>
        </w:rPr>
      </w:pPr>
    </w:p>
    <w:p>
      <w:pPr>
        <w:pStyle w:val="4"/>
        <w:spacing w:before="1"/>
        <w:rPr>
          <w:b/>
          <w:sz w:val="14"/>
        </w:rPr>
      </w:pPr>
    </w:p>
    <w:p>
      <w:pPr>
        <w:pStyle w:val="4"/>
        <w:ind w:left="110"/>
        <w:rPr>
          <w:sz w:val="20"/>
        </w:rPr>
      </w:pPr>
      <w:r>
        <w:rPr>
          <w:rFonts w:hint="eastAsia" w:ascii="Times New Roman" w:hAnsi="Times New Roman" w:eastAsia="仿宋" w:cs="Times New Roman"/>
          <w:b/>
          <w:sz w:val="24"/>
          <w:szCs w:val="24"/>
          <w:lang w:eastAsia="zh-CN"/>
        </w:rPr>
        <w:drawing>
          <wp:inline distT="0" distB="0" distL="114300" distR="114300">
            <wp:extent cx="7891780" cy="5791200"/>
            <wp:effectExtent l="0" t="0" r="13970" b="0"/>
            <wp:docPr id="3" name="图片 3" descr="2e61cbcc23b6012b5a78a34bf687a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e61cbcc23b6012b5a78a34bf687adc"/>
                    <pic:cNvPicPr>
                      <a:picLocks noChangeAspect="1"/>
                    </pic:cNvPicPr>
                  </pic:nvPicPr>
                  <pic:blipFill>
                    <a:blip r:embed="rId5"/>
                    <a:stretch>
                      <a:fillRect/>
                    </a:stretch>
                  </pic:blipFill>
                  <pic:spPr>
                    <a:xfrm>
                      <a:off x="0" y="0"/>
                      <a:ext cx="7891780" cy="5791200"/>
                    </a:xfrm>
                    <a:prstGeom prst="rect">
                      <a:avLst/>
                    </a:prstGeom>
                  </pic:spPr>
                </pic:pic>
              </a:graphicData>
            </a:graphic>
          </wp:inline>
        </w:drawing>
      </w:r>
    </w:p>
    <w:p>
      <w:pPr>
        <w:pStyle w:val="4"/>
        <w:spacing w:before="6"/>
        <w:rPr>
          <w:b/>
          <w:sz w:val="27"/>
        </w:rPr>
      </w:pPr>
    </w:p>
    <w:p>
      <w:pPr>
        <w:spacing w:before="62"/>
        <w:ind w:left="4012" w:right="4012" w:firstLine="0"/>
        <w:jc w:val="center"/>
        <w:rPr>
          <w:b/>
          <w:sz w:val="28"/>
        </w:rPr>
      </w:pPr>
      <w:r>
        <w:rPr>
          <w:b/>
          <w:sz w:val="28"/>
        </w:rPr>
        <w:t>自行监测点位布设图（对照点）</w:t>
      </w:r>
    </w:p>
    <w:sectPr>
      <w:pgSz w:w="16840" w:h="11910" w:orient="landscape"/>
      <w:pgMar w:top="1100" w:right="2420" w:bottom="280" w:left="24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783E79"/>
    <w:rsid w:val="3D91395A"/>
    <w:rsid w:val="5BF556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1"/>
      <w:ind w:left="822" w:right="958"/>
      <w:jc w:val="center"/>
      <w:outlineLvl w:val="1"/>
    </w:pPr>
    <w:rPr>
      <w:rFonts w:ascii="宋体" w:hAnsi="宋体" w:eastAsia="宋体" w:cs="宋体"/>
      <w:b/>
      <w:bCs/>
      <w:sz w:val="36"/>
      <w:szCs w:val="36"/>
      <w:lang w:val="zh-CN" w:eastAsia="zh-CN" w:bidi="zh-CN"/>
    </w:rPr>
  </w:style>
  <w:style w:type="paragraph" w:styleId="3">
    <w:name w:val="heading 2"/>
    <w:basedOn w:val="1"/>
    <w:next w:val="1"/>
    <w:qFormat/>
    <w:uiPriority w:val="1"/>
    <w:pPr>
      <w:ind w:left="120"/>
      <w:outlineLvl w:val="2"/>
    </w:pPr>
    <w:rPr>
      <w:rFonts w:ascii="宋体" w:hAnsi="宋体" w:eastAsia="宋体" w:cs="宋体"/>
      <w:b/>
      <w:bCs/>
      <w:sz w:val="32"/>
      <w:szCs w:val="32"/>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0"/>
      <w:szCs w:val="30"/>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ScaleCrop>false</ScaleCrop>
  <LinksUpToDate>false</LinksUpToDate>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2020-12-29T06:46:00Z</dcterms:created>
  <dc:creator>Administrator</dc:creator>
  <cp:lastModifiedBy>木易二中</cp:lastModifiedBy>
  <cp:lastPrinted>2020-12-29T07:45:38Z</cp:lastPrinted>
  <dcterms:modified xsi:type="dcterms:W3CDTF">2020-12-29T07:46:52Z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Acrobat PDFMaker 10.1 Word 版</vt:lpwstr>
  </property>
  <property fmtid="{D5CDD505-2E9C-101B-9397-08002B2CF9AE}" pid="4" name="LastSaved">
    <vt:filetime>2020-12-29T00:00:00Z</vt:filetime>
  </property>
  <property fmtid="{D5CDD505-2E9C-101B-9397-08002B2CF9AE}" pid="5" name="KSOProductBuildVer">
    <vt:lpwstr>2052-11.1.0.10228</vt:lpwstr>
  </property>
</Properties>
</file>